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Neubau Grundschule Grebben/Aufzugsanlage</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30/65-2026-036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Das 2-geschossige Gebäudetragwerk wird in Stahlbeton geplant. Die
innenliegenden Flurwände werden in Sichtbeton hergestellt. Die vertikalen
Lasten werden im Wesentlichen ohne Abfangkonstruktionen in die
Gründungsbauteile eingeleitet. Sämtliche Treppenhäuser und
Erschließungsschächte werden als gebäudeaussteifende Kerne in
Massivbauweise geplant. Über die Deckenscheiben werden die
Horizontallasten geschossweise in die Wandscheiben weitergeleitet. Der
große Mensabereich kann ohne Unterzüge realisiert werden, die
Geschossdecke wird über Rundstützen im EG und dem wandartigen Träger
im OG abgefangen.
Bauabschnitte
Die Umsetzung erfolgt in 2 Bauabschnitten. Der Neubau wird auf dem
nördlichen Grundstücksteil erstellt. Während der Bauphase wird das südliche
Grundstücksteil mit dem Bestandgebäude durch einen Bauzaun abgetrennt.
Die Zugänge zur Bestandsschule und der Sporthalle sind frei zugänglich.
Nach Fertigstellung des Neubaus erfolgt der Abriss des Bestandsgebäudes
und die Ergänzung der südlichen Freiflächen.
Kennzahlen
BGF Bruttogeschossfläche: ca. 3.541m2
BRI Bruttorauminhalt: ca. 15.639m3</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